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2B75B9" w:rsidP="00C43A43">
      <w:pPr>
        <w:pStyle w:val="Title"/>
      </w:pPr>
      <w:r>
        <w:t>Mendocino</w:t>
      </w:r>
      <w:r w:rsidR="00601364">
        <w:t xml:space="preserv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BC38C5"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2B75B9" w:rsidP="003644DB">
      <w:pPr>
        <w:pStyle w:val="Title"/>
      </w:pPr>
      <w:r>
        <w:lastRenderedPageBreak/>
        <w:t>Mendocino</w:t>
      </w:r>
      <w:r w:rsidR="003644DB">
        <w:t xml:space="preserve"> 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1521B2" w:rsidRDefault="003644DB" w:rsidP="003644DB">
      <w:pPr>
        <w:rPr>
          <w:rFonts w:eastAsia="Times New Roman"/>
          <w:sz w:val="20"/>
          <w:szCs w:val="20"/>
        </w:rPr>
      </w:pPr>
      <w:r w:rsidRPr="00A9360B">
        <w:t xml:space="preserve">County Name:  </w:t>
      </w:r>
      <w:r w:rsidR="002B75B9">
        <w:rPr>
          <w:b/>
          <w:sz w:val="28"/>
          <w:szCs w:val="28"/>
        </w:rPr>
        <w:t>Mendocino</w:t>
      </w:r>
      <w:r>
        <w:rPr>
          <w:b/>
          <w:sz w:val="28"/>
          <w:szCs w:val="28"/>
        </w:rPr>
        <w:tab/>
      </w:r>
      <w:r>
        <w:rPr>
          <w:b/>
          <w:sz w:val="28"/>
          <w:szCs w:val="28"/>
        </w:rPr>
        <w:tab/>
      </w:r>
      <w:r>
        <w:rPr>
          <w:b/>
          <w:sz w:val="28"/>
          <w:szCs w:val="28"/>
        </w:rPr>
        <w:tab/>
      </w:r>
      <w:r w:rsidR="001521B2">
        <w:rPr>
          <w:b/>
          <w:sz w:val="28"/>
          <w:szCs w:val="28"/>
        </w:rPr>
        <w:tab/>
      </w:r>
      <w:r w:rsidRPr="00A9360B">
        <w:t xml:space="preserve">Population </w:t>
      </w:r>
      <w:r>
        <w:t>(</w:t>
      </w:r>
      <w:r w:rsidR="001C4A7D">
        <w:t>2013</w:t>
      </w:r>
      <w:r>
        <w:t xml:space="preserve">):  </w:t>
      </w:r>
      <w:r w:rsidR="001521B2">
        <w:t xml:space="preserve">    </w:t>
      </w:r>
      <w:r w:rsidR="001521B2" w:rsidRPr="001521B2">
        <w:rPr>
          <w:rFonts w:eastAsia="Times New Roman"/>
        </w:rPr>
        <w:t>88,673</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6C1163" w:rsidRDefault="006C1163" w:rsidP="003644DB">
      <w:pPr>
        <w:rPr>
          <w:u w:val="single"/>
        </w:rPr>
      </w:pPr>
      <w:r>
        <w:tab/>
      </w:r>
      <w:r w:rsidR="00056750" w:rsidRPr="00056750">
        <w:rPr>
          <w:u w:val="single"/>
        </w:rPr>
        <w:t>http://www.co.mendocino.ca.us/hhsa/bhrs/index.htm</w:t>
      </w:r>
    </w:p>
    <w:p w:rsidR="003644DB" w:rsidRPr="00A9360B" w:rsidRDefault="003644DB" w:rsidP="003644DB">
      <w:r w:rsidRPr="00A9360B">
        <w:t xml:space="preserve">Website for Local </w:t>
      </w:r>
      <w:r>
        <w:t xml:space="preserve">County </w:t>
      </w:r>
      <w:r w:rsidRPr="00A9360B">
        <w:t xml:space="preserve">MH Data and Reports: </w:t>
      </w:r>
    </w:p>
    <w:p w:rsidR="00056750" w:rsidRDefault="00056750" w:rsidP="003644DB">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rsidRPr="00056750">
        <w:softHyphen/>
      </w:r>
      <w:r>
        <w:tab/>
      </w:r>
      <w:r w:rsidRPr="00056750">
        <w:rPr>
          <w:u w:val="single"/>
        </w:rPr>
        <w:t>http://</w:t>
      </w:r>
      <w:r w:rsidRPr="006C1163">
        <w:rPr>
          <w:u w:val="single"/>
        </w:rPr>
        <w:t>www.co.mendocino.ca.us/hhsa/mentalhealth.htm</w:t>
      </w:r>
      <w:r w:rsidRPr="00A9360B">
        <w:t xml:space="preserve"> </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056750" w:rsidRPr="00056750" w:rsidRDefault="00056750" w:rsidP="00056750">
      <w:pPr>
        <w:ind w:firstLine="720"/>
        <w:rPr>
          <w:u w:val="single"/>
        </w:rPr>
      </w:pPr>
      <w:r w:rsidRPr="00056750">
        <w:rPr>
          <w:u w:val="single"/>
        </w:rPr>
        <w:t>http://www.co.mendocino.ca.us/hhsa/mh_board.htm</w:t>
      </w:r>
    </w:p>
    <w:p w:rsidR="003644DB" w:rsidRDefault="003644DB" w:rsidP="003644DB">
      <w:r>
        <w:t xml:space="preserve">Specialty MH Data </w:t>
      </w:r>
      <w:r w:rsidR="001C4A7D">
        <w:t xml:space="preserve">from </w:t>
      </w:r>
      <w:r>
        <w:t xml:space="preserve">review Year 2013-2014:   </w:t>
      </w:r>
      <w:hyperlink r:id="rId15"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A977D9">
        <w:t xml:space="preserve">  30,285</w:t>
      </w:r>
    </w:p>
    <w:p w:rsidR="003644DB" w:rsidRDefault="003644DB" w:rsidP="003644DB">
      <w:pPr>
        <w:ind w:firstLine="720"/>
      </w:pPr>
      <w:r w:rsidRPr="00A9360B">
        <w:t>Average number Medi-Cal eli</w:t>
      </w:r>
      <w:r>
        <w:t xml:space="preserve">gible persons per month:  </w:t>
      </w:r>
      <w:r w:rsidR="00A977D9">
        <w:t xml:space="preserve">   24,961</w:t>
      </w:r>
    </w:p>
    <w:p w:rsidR="003644DB" w:rsidRPr="00A9360B" w:rsidRDefault="003644DB" w:rsidP="003644DB">
      <w:r>
        <w:tab/>
        <w:t>Percent of Medi-Cal eligible persons who were:</w:t>
      </w:r>
    </w:p>
    <w:p w:rsidR="003644DB" w:rsidRDefault="003644DB" w:rsidP="003644DB">
      <w:r>
        <w:tab/>
      </w:r>
      <w:r>
        <w:tab/>
        <w:t xml:space="preserve">Children, ages 0-17:  </w:t>
      </w:r>
      <w:r w:rsidR="00A977D9">
        <w:t xml:space="preserve">43.7 </w:t>
      </w:r>
      <w:r>
        <w:t>%</w:t>
      </w:r>
    </w:p>
    <w:p w:rsidR="003644DB" w:rsidRDefault="003644DB" w:rsidP="003644DB">
      <w:pPr>
        <w:ind w:left="720" w:firstLine="720"/>
      </w:pPr>
      <w:r>
        <w:t xml:space="preserve">Adults, ages 18-59:  </w:t>
      </w:r>
      <w:r w:rsidR="00A977D9">
        <w:t xml:space="preserve">43.0 </w:t>
      </w:r>
      <w:r>
        <w:t>%</w:t>
      </w:r>
    </w:p>
    <w:p w:rsidR="003644DB" w:rsidRDefault="003644DB" w:rsidP="003644DB">
      <w:pPr>
        <w:ind w:left="720" w:firstLine="720"/>
        <w:rPr>
          <w:u w:val="single"/>
        </w:rPr>
      </w:pPr>
      <w:r>
        <w:t xml:space="preserve">Adults, Ages 60 and Over:  </w:t>
      </w:r>
      <w:r w:rsidR="00A977D9">
        <w:t xml:space="preserve">13.3 </w:t>
      </w:r>
      <w:r>
        <w:t>%</w:t>
      </w:r>
      <w:r w:rsidRPr="00A9360B">
        <w:tab/>
      </w:r>
      <w:r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A977D9">
        <w:t>1,434</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1521B2">
        <w:t xml:space="preserve">57.6 </w:t>
      </w:r>
      <w:r>
        <w:t>%</w:t>
      </w:r>
    </w:p>
    <w:p w:rsidR="003644DB" w:rsidRDefault="003644DB" w:rsidP="003644DB">
      <w:pPr>
        <w:ind w:left="720" w:firstLine="720"/>
      </w:pPr>
      <w:r w:rsidRPr="00A9360B">
        <w:t xml:space="preserve">Adults 18-59: </w:t>
      </w:r>
      <w:r w:rsidR="003A0022">
        <w:t xml:space="preserve"> </w:t>
      </w:r>
      <w:r w:rsidR="001521B2">
        <w:t xml:space="preserve">37.8 </w:t>
      </w:r>
      <w:r>
        <w:t>%</w:t>
      </w:r>
    </w:p>
    <w:p w:rsidR="00CB31BC" w:rsidRDefault="003644DB" w:rsidP="006867F9">
      <w:pPr>
        <w:ind w:left="720" w:firstLine="720"/>
      </w:pPr>
      <w:r w:rsidRPr="00A9360B">
        <w:t xml:space="preserve">Adults 60 and Over: </w:t>
      </w:r>
      <w:r w:rsidR="003A0022">
        <w:t xml:space="preserve"> </w:t>
      </w:r>
      <w:r w:rsidR="001521B2">
        <w:t xml:space="preserve">4.6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2B75B9" w:rsidP="00464DC8">
      <w:pPr>
        <w:pStyle w:val="ListParagraph"/>
        <w:numPr>
          <w:ilvl w:val="0"/>
          <w:numId w:val="24"/>
        </w:numPr>
      </w:pPr>
      <w:r>
        <w:t>examine</w:t>
      </w:r>
      <w:r w:rsidR="00E50DE2">
        <w:t xml:space="preserve"> 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2B75B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6E721D" w:rsidRDefault="006E721D" w:rsidP="00C43A43">
      <w:pPr>
        <w:shd w:val="clear" w:color="auto" w:fill="FFFFFF"/>
        <w:rPr>
          <w:rFonts w:eastAsia="Times New Roman"/>
          <w:color w:val="000000"/>
        </w:rPr>
      </w:pPr>
      <w:r>
        <w:rPr>
          <w:rFonts w:eastAsia="Times New Roman"/>
          <w:color w:val="000000"/>
        </w:rPr>
        <w:t>Mendocino County participates in the California Institute for Behavioral Health Solutions care coordination learning collaborative. The collaborative is a partnership between Mental Health, Physical Health and Substance Use Disorders Treatment. The goal of the collaborative is to improve health outcomes and consumer satisfaction through the development of care coordinator roles and the improvement of screening, referral and communication processes. This learning collaboration is the commination of other learning collaborative</w:t>
      </w:r>
      <w:r w:rsidR="00DD6C81">
        <w:rPr>
          <w:rFonts w:eastAsia="Times New Roman"/>
          <w:color w:val="000000"/>
        </w:rPr>
        <w:t>s</w:t>
      </w:r>
      <w:r>
        <w:rPr>
          <w:rFonts w:eastAsia="Times New Roman"/>
          <w:color w:val="000000"/>
        </w:rPr>
        <w:t xml:space="preserve"> that have focused on whole person care</w:t>
      </w:r>
      <w:r w:rsidR="00DD6C81">
        <w:rPr>
          <w:rFonts w:eastAsia="Times New Roman"/>
          <w:color w:val="000000"/>
        </w:rPr>
        <w:t>. Mendocino County has participated in other learning collaboratives with whole person care as the focus.</w:t>
      </w:r>
    </w:p>
    <w:p w:rsidR="00C91363" w:rsidRPr="00C43A43" w:rsidRDefault="00C91363"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DD6C81" w:rsidRDefault="00DD6C81" w:rsidP="00C43A43">
      <w:pPr>
        <w:shd w:val="clear" w:color="auto" w:fill="FFFFFF"/>
        <w:rPr>
          <w:rFonts w:eastAsia="Times New Roman"/>
          <w:color w:val="000000"/>
        </w:rPr>
      </w:pPr>
      <w:r>
        <w:rPr>
          <w:rFonts w:eastAsia="Times New Roman"/>
          <w:color w:val="000000"/>
        </w:rPr>
        <w:t xml:space="preserve">Through contracted providers and Mental Health Services Act programs we have a number of wellness and resource centers that provide groups and activities to the community about exercise, nutrition, healthy cooking, stress management, smoking cessation, managing chronic disease, patient navigation, and peer support. </w:t>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737984" w:rsidRPr="005F0423" w:rsidRDefault="00737984" w:rsidP="00C43A43">
      <w:pPr>
        <w:shd w:val="clear" w:color="auto" w:fill="FFFFFF"/>
        <w:rPr>
          <w:rFonts w:eastAsia="Times New Roman"/>
          <w:b/>
        </w:rPr>
      </w:pPr>
      <w:r w:rsidRPr="00737984">
        <w:rPr>
          <w:rStyle w:val="Strong"/>
          <w:b w:val="0"/>
        </w:rPr>
        <w:t xml:space="preserve">The county closes clients after 3 months of no </w:t>
      </w:r>
      <w:r>
        <w:rPr>
          <w:rStyle w:val="Strong"/>
          <w:b w:val="0"/>
        </w:rPr>
        <w:t xml:space="preserve">outpatient </w:t>
      </w:r>
      <w:r w:rsidRPr="00737984">
        <w:rPr>
          <w:rStyle w:val="Strong"/>
          <w:b w:val="0"/>
        </w:rPr>
        <w:t>service</w:t>
      </w:r>
      <w:r>
        <w:rPr>
          <w:rStyle w:val="Strong"/>
          <w:b w:val="0"/>
        </w:rPr>
        <w:t xml:space="preserve">s </w:t>
      </w:r>
      <w:r w:rsidRPr="00737984">
        <w:rPr>
          <w:rStyle w:val="Strong"/>
          <w:b w:val="0"/>
        </w:rPr>
        <w:t>and 6 months of no services for clients receiving medication management services.  If a client returns, an episode is opened to the appropriate facility as a re-admission.</w:t>
      </w:r>
      <w:r>
        <w:rPr>
          <w:rStyle w:val="Strong"/>
          <w:b w:val="0"/>
        </w:rPr>
        <w:t xml:space="preserve"> </w:t>
      </w:r>
      <w:r w:rsidRPr="00737984">
        <w:t>"Brand New Clients" is someone who has never been seen by any mental health facility including org providers.</w:t>
      </w: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43A43">
      <w:pPr>
        <w:shd w:val="clear" w:color="auto" w:fill="FFFFFF"/>
        <w:rPr>
          <w:rFonts w:eastAsia="Times New Roman"/>
          <w:color w:val="000000"/>
        </w:rPr>
      </w:pPr>
      <w:r w:rsidRPr="00C43A43">
        <w:rPr>
          <w:rFonts w:eastAsia="Times New Roman"/>
          <w:color w:val="000000"/>
        </w:rPr>
        <w:t># new children/youth  </w:t>
      </w:r>
      <w:r w:rsidR="003755D4" w:rsidRPr="00C43A43">
        <w:rPr>
          <w:rFonts w:eastAsia="Times New Roman"/>
          <w:color w:val="000000"/>
        </w:rPr>
        <w:t>(0-17 yrs)</w:t>
      </w:r>
      <w:r w:rsidRPr="00C43A43">
        <w:rPr>
          <w:rFonts w:eastAsia="Times New Roman"/>
          <w:color w:val="000000"/>
        </w:rPr>
        <w:t> </w:t>
      </w:r>
      <w:r w:rsidR="00737984">
        <w:rPr>
          <w:rFonts w:eastAsia="Times New Roman"/>
          <w:color w:val="000000"/>
          <w:u w:val="single"/>
        </w:rPr>
        <w:t xml:space="preserve"> 603 </w:t>
      </w:r>
      <w:r w:rsidRPr="00C43A43">
        <w:rPr>
          <w:rFonts w:eastAsia="Times New Roman"/>
          <w:color w:val="000000"/>
        </w:rPr>
        <w:tab/>
      </w:r>
    </w:p>
    <w:p w:rsidR="003755D4" w:rsidRPr="005F0423" w:rsidRDefault="00C43A43" w:rsidP="00C43A43">
      <w:pPr>
        <w:shd w:val="clear" w:color="auto" w:fill="FFFFFF"/>
        <w:rPr>
          <w:rFonts w:eastAsia="Times New Roman"/>
          <w:color w:val="000000"/>
          <w:u w:val="single"/>
        </w:rPr>
      </w:pPr>
      <w:r w:rsidRPr="00C43A43">
        <w:rPr>
          <w:rFonts w:eastAsia="Times New Roman"/>
          <w:color w:val="000000"/>
        </w:rPr>
        <w:t xml:space="preserve">of these, how many (or </w:t>
      </w:r>
      <w:r w:rsidR="00737984">
        <w:rPr>
          <w:rFonts w:eastAsia="Times New Roman"/>
          <w:color w:val="000000"/>
        </w:rPr>
        <w:t xml:space="preserve">%) are ‘brand new’ clients </w:t>
      </w:r>
      <w:r w:rsidR="00737984">
        <w:rPr>
          <w:rFonts w:eastAsia="Times New Roman"/>
          <w:color w:val="000000"/>
          <w:u w:val="single"/>
        </w:rPr>
        <w:t>339 / 56%</w:t>
      </w:r>
    </w:p>
    <w:p w:rsidR="003755D4" w:rsidRDefault="00C43A43" w:rsidP="00C43A43">
      <w:pPr>
        <w:shd w:val="clear" w:color="auto" w:fill="FFFFFF"/>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00737984">
        <w:rPr>
          <w:rFonts w:eastAsia="Times New Roman"/>
          <w:color w:val="000000"/>
        </w:rPr>
        <w:t xml:space="preserve"> </w:t>
      </w:r>
      <w:r w:rsidR="00737984">
        <w:rPr>
          <w:rFonts w:eastAsia="Times New Roman"/>
          <w:color w:val="000000"/>
          <w:u w:val="single"/>
        </w:rPr>
        <w:t xml:space="preserve">  429  </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w:t>
      </w:r>
      <w:r w:rsidR="00737984">
        <w:rPr>
          <w:rFonts w:eastAsia="Times New Roman"/>
          <w:color w:val="000000"/>
          <w:u w:val="single"/>
        </w:rPr>
        <w:t xml:space="preserve"> 160 / 37% </w:t>
      </w:r>
      <w:r w:rsidRPr="00C43A43">
        <w:rPr>
          <w:rFonts w:eastAsia="Times New Roman"/>
          <w:color w:val="000000"/>
        </w:rPr>
        <w:tab/>
      </w:r>
    </w:p>
    <w:p w:rsidR="003755D4" w:rsidRDefault="00C43A43" w:rsidP="00C43A43">
      <w:pPr>
        <w:shd w:val="clear" w:color="auto" w:fill="FFFFFF"/>
        <w:rPr>
          <w:rFonts w:eastAsia="Times New Roman"/>
          <w:color w:val="000000"/>
        </w:rPr>
      </w:pPr>
      <w:r w:rsidRPr="00C43A43">
        <w:rPr>
          <w:rFonts w:eastAsia="Times New Roman"/>
          <w:color w:val="000000"/>
        </w:rPr>
        <w:t xml:space="preserve"># new older adults  </w:t>
      </w:r>
      <w:r w:rsidR="003755D4" w:rsidRPr="00C43A43">
        <w:rPr>
          <w:rFonts w:eastAsia="Times New Roman"/>
          <w:color w:val="000000"/>
        </w:rPr>
        <w:t>(60+ yrs)</w:t>
      </w:r>
      <w:r w:rsidR="00737984">
        <w:rPr>
          <w:rFonts w:eastAsia="Times New Roman"/>
          <w:color w:val="000000"/>
        </w:rPr>
        <w:t xml:space="preserve"> </w:t>
      </w:r>
      <w:r w:rsidR="00737984">
        <w:rPr>
          <w:rFonts w:eastAsia="Times New Roman"/>
          <w:color w:val="000000"/>
          <w:u w:val="single"/>
        </w:rPr>
        <w:t xml:space="preserve"> 80  </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of these, how many (or %) are ‘br</w:t>
      </w:r>
      <w:r w:rsidR="00737984">
        <w:rPr>
          <w:rFonts w:eastAsia="Times New Roman"/>
          <w:color w:val="000000"/>
        </w:rPr>
        <w:t xml:space="preserve">and new’ clients </w:t>
      </w:r>
      <w:r w:rsidR="00737984">
        <w:rPr>
          <w:rFonts w:eastAsia="Times New Roman"/>
          <w:color w:val="000000"/>
          <w:u w:val="single"/>
        </w:rPr>
        <w:t xml:space="preserve">  36 / 45% </w:t>
      </w:r>
      <w:r w:rsidRPr="00C43A43">
        <w:rPr>
          <w:rFonts w:eastAsia="Times New Roman"/>
          <w:color w:val="000000"/>
        </w:rPr>
        <w:t xml:space="preserve">   </w:t>
      </w: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A7286E">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A7286E">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A977D9" w:rsidRDefault="00A977D9" w:rsidP="00C43A43">
      <w:pPr>
        <w:shd w:val="clear" w:color="auto" w:fill="FFFFFF"/>
        <w:rPr>
          <w:rFonts w:eastAsia="Times New Roman"/>
          <w:b/>
          <w:color w:val="000000"/>
        </w:rPr>
      </w:pPr>
    </w:p>
    <w:p w:rsidR="00CD4B6A" w:rsidRPr="00C43A43" w:rsidRDefault="002B75B9" w:rsidP="00C43A43">
      <w:pPr>
        <w:shd w:val="clear" w:color="auto" w:fill="FFFFFF"/>
        <w:rPr>
          <w:rFonts w:eastAsia="Times New Roman"/>
          <w:color w:val="000000"/>
        </w:rPr>
      </w:pPr>
      <w:r>
        <w:rPr>
          <w:rFonts w:eastAsia="Times New Roman"/>
          <w:b/>
          <w:color w:val="000000"/>
        </w:rPr>
        <w:t>Mendocino</w:t>
      </w:r>
      <w:r w:rsidR="00CD4B6A" w:rsidRPr="00CD4B6A">
        <w:rPr>
          <w:rFonts w:eastAsia="Times New Roman"/>
          <w:b/>
          <w:color w:val="000000"/>
        </w:rPr>
        <w:t xml:space="preserve"> County</w:t>
      </w:r>
      <w:r w:rsidR="00CD4B6A">
        <w:rPr>
          <w:rFonts w:eastAsia="Times New Roman"/>
          <w:color w:val="000000"/>
        </w:rPr>
        <w:t>:</w:t>
      </w:r>
    </w:p>
    <w:p w:rsidR="00CD4B6A" w:rsidRPr="00C43A43" w:rsidRDefault="00A977D9" w:rsidP="00C43A43">
      <w:pPr>
        <w:shd w:val="clear" w:color="auto" w:fill="FFFFFF"/>
        <w:rPr>
          <w:rFonts w:eastAsia="Times New Roman"/>
          <w:color w:val="000000"/>
        </w:rPr>
      </w:pPr>
      <w:r>
        <w:rPr>
          <w:noProof/>
        </w:rPr>
        <w:drawing>
          <wp:inline distT="0" distB="0" distL="0" distR="0" wp14:anchorId="536179BE" wp14:editId="5386D4EF">
            <wp:extent cx="5781675" cy="475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97057" cy="4765620"/>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6.  Looking at the chart, is your county doing better or worse than the state?  Discuss why (e.g., your county has programming available that specifically ensures a warm handoff for follow-up services). </w:t>
      </w:r>
    </w:p>
    <w:p w:rsidR="00C43A43" w:rsidRDefault="00F008C7" w:rsidP="00C43A43">
      <w:r>
        <w:t xml:space="preserve">In 2011, Mendocino County was doing better than the state in regards to within 7 days and within 30 days after hospitalization follow-up services. In 2012, Mendocino County was doing the same as the state in regards to follow-up services. </w:t>
      </w:r>
      <w:r w:rsidR="003A018A">
        <w:t>In regards to readmission</w:t>
      </w:r>
      <w:r>
        <w:t>s</w:t>
      </w:r>
      <w:r w:rsidR="003A018A">
        <w:t xml:space="preserve"> within 7 days and 30 days</w:t>
      </w:r>
      <w:r>
        <w:t>, Mendocino County for fiscal years 2011 and 2012 were below the state average.</w:t>
      </w:r>
    </w:p>
    <w:p w:rsidR="00F008C7" w:rsidRDefault="003A018A" w:rsidP="00C43A43">
      <w:r>
        <w:t xml:space="preserve">Mendocino County starts discharge planning on day one of hospitalization. The county also offers transportation to and from the inpatient hospital. </w:t>
      </w:r>
      <w:r w:rsidR="00F008C7">
        <w:t>Mendocino County offers a post hospitalization interview for all clients who have been hospitalized. The meeting happens on the same day or next day of discharge. The interview allows the provider to check with the client to be sure they have supports in place for follow-up services, obtain medications, and a safety plan.</w:t>
      </w:r>
    </w:p>
    <w:p w:rsidR="00C43A43" w:rsidRPr="00C43A43" w:rsidRDefault="00C43A43" w:rsidP="00C43A43"/>
    <w:p w:rsidR="00C43A43" w:rsidRPr="00C43A43" w:rsidRDefault="00C43A43" w:rsidP="00C43A43">
      <w:pPr>
        <w:rPr>
          <w:b/>
        </w:rPr>
      </w:pPr>
      <w:r w:rsidRPr="00C43A43">
        <w:rPr>
          <w:b/>
        </w:rPr>
        <w:t>7.  Do you have any suggestions on how your county can improve follow-up and reduce re-hospitalizations?</w:t>
      </w:r>
    </w:p>
    <w:p w:rsidR="003A018A" w:rsidRDefault="003A018A" w:rsidP="00C43A43">
      <w:r>
        <w:t>A couple of suggestions on how to improve follow-up care and reduce re-hospitalization are:</w:t>
      </w:r>
      <w:r>
        <w:tab/>
      </w:r>
    </w:p>
    <w:p w:rsidR="003A018A" w:rsidRDefault="003A018A" w:rsidP="003A018A">
      <w:pPr>
        <w:ind w:left="720"/>
      </w:pPr>
      <w:r>
        <w:t>Have the client’s primary providers, mental health and physical health, involved from day one of hospitalization with the client and the hospital.</w:t>
      </w:r>
    </w:p>
    <w:p w:rsidR="00C43A43" w:rsidRPr="00C43A43" w:rsidRDefault="003A018A" w:rsidP="003A018A">
      <w:pPr>
        <w:ind w:left="720"/>
      </w:pPr>
      <w:r>
        <w:t>Have the client’s primary providers, mental health and physical health, involved with the post hospitalization interview.</w:t>
      </w:r>
    </w:p>
    <w:p w:rsidR="00C43A43" w:rsidRPr="00C43A43" w:rsidRDefault="00C43A43" w:rsidP="00C43A43"/>
    <w:p w:rsidR="003A018A"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w:t>
      </w:r>
    </w:p>
    <w:p w:rsidR="003A018A" w:rsidRDefault="003A018A" w:rsidP="00C43A43">
      <w:r>
        <w:t xml:space="preserve">The three most significant barriers to </w:t>
      </w:r>
      <w:r w:rsidR="00387CDF">
        <w:t>service</w:t>
      </w:r>
      <w:r>
        <w:t xml:space="preserve"> access</w:t>
      </w:r>
      <w:r w:rsidR="00387CDF">
        <w:t xml:space="preserve"> in Mendocino County</w:t>
      </w:r>
      <w:r>
        <w:t xml:space="preserve"> are:</w:t>
      </w:r>
    </w:p>
    <w:p w:rsidR="003A018A" w:rsidRDefault="00387CDF" w:rsidP="00387CDF">
      <w:pPr>
        <w:pStyle w:val="ListParagraph"/>
        <w:numPr>
          <w:ilvl w:val="0"/>
          <w:numId w:val="32"/>
        </w:numPr>
      </w:pPr>
      <w:r>
        <w:t>Lack of providers in rural areas</w:t>
      </w:r>
    </w:p>
    <w:p w:rsidR="00387CDF" w:rsidRDefault="00387CDF" w:rsidP="00387CDF">
      <w:pPr>
        <w:pStyle w:val="ListParagraph"/>
        <w:numPr>
          <w:ilvl w:val="0"/>
          <w:numId w:val="32"/>
        </w:numPr>
      </w:pPr>
      <w:r>
        <w:t>Lack of transportation for clients within rural areas</w:t>
      </w:r>
    </w:p>
    <w:p w:rsidR="00387CDF" w:rsidRDefault="00387CDF" w:rsidP="00387CDF">
      <w:pPr>
        <w:pStyle w:val="ListParagraph"/>
        <w:numPr>
          <w:ilvl w:val="0"/>
          <w:numId w:val="32"/>
        </w:numPr>
      </w:pPr>
      <w:r>
        <w:t>Lack of psychiatrist or tele-psychiatry services</w:t>
      </w:r>
    </w:p>
    <w:p w:rsidR="00387CDF" w:rsidRPr="003A018A" w:rsidRDefault="00387CDF" w:rsidP="00387CDF"/>
    <w:p w:rsidR="00C43A43" w:rsidRPr="005F0423" w:rsidRDefault="00C43A43" w:rsidP="005F0423">
      <w:pPr>
        <w:spacing w:after="0" w:line="240" w:lineRule="auto"/>
        <w:rPr>
          <w:sz w:val="28"/>
          <w:szCs w:val="28"/>
        </w:rPr>
      </w:pPr>
      <w:r w:rsidRPr="00C43A43">
        <w:br w:type="page"/>
      </w:r>
      <w:r w:rsidR="00D05CD4" w:rsidRPr="005F0423">
        <w:rPr>
          <w:sz w:val="28"/>
          <w:szCs w:val="28"/>
        </w:rPr>
        <w:lastRenderedPageBreak/>
        <w:t xml:space="preserve">ACCESS BY UNSERVED </w:t>
      </w:r>
      <w:r w:rsidRPr="005F0423">
        <w:rPr>
          <w:sz w:val="28"/>
          <w:szCs w:val="28"/>
        </w:rPr>
        <w:t>AND UNDER-SERVED COMMUNITIES</w:t>
      </w:r>
    </w:p>
    <w:p w:rsidR="005F0423" w:rsidRPr="005F0423" w:rsidRDefault="005F0423" w:rsidP="005F0423">
      <w:pPr>
        <w:spacing w:after="0" w:line="240" w:lineRule="auto"/>
        <w:rPr>
          <w:b/>
        </w:rPr>
      </w:pP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A977D9" w:rsidRDefault="002B75B9" w:rsidP="00C43A43">
      <w:r>
        <w:rPr>
          <w:b/>
        </w:rPr>
        <w:t>Mendocino County</w:t>
      </w:r>
      <w:r w:rsidR="00C26531">
        <w:t>:</w:t>
      </w:r>
    </w:p>
    <w:p w:rsidR="00C26531" w:rsidRPr="00C43A43" w:rsidRDefault="00A977D9" w:rsidP="00C43A43">
      <w:r w:rsidRPr="00A977D9">
        <w:rPr>
          <w:noProof/>
        </w:rPr>
        <w:t xml:space="preserve"> </w:t>
      </w:r>
      <w:r>
        <w:rPr>
          <w:noProof/>
        </w:rPr>
        <w:drawing>
          <wp:inline distT="0" distB="0" distL="0" distR="0" wp14:anchorId="58BE4D99" wp14:editId="6853C519">
            <wp:extent cx="4438650" cy="57336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38650" cy="5733611"/>
                    </a:xfrm>
                    <a:prstGeom prst="rect">
                      <a:avLst/>
                    </a:prstGeom>
                  </pic:spPr>
                </pic:pic>
              </a:graphicData>
            </a:graphic>
          </wp:inline>
        </w:drawing>
      </w:r>
    </w:p>
    <w:p w:rsidR="00C43A43" w:rsidRPr="00C43A43" w:rsidRDefault="00C43A43" w:rsidP="00C43A43">
      <w:pPr>
        <w:rPr>
          <w:b/>
        </w:rPr>
      </w:pPr>
      <w:r w:rsidRPr="00C43A43">
        <w:rPr>
          <w:b/>
        </w:rPr>
        <w:lastRenderedPageBreak/>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C43A43" w:rsidRPr="00C43A43" w:rsidRDefault="00B853D4" w:rsidP="00C43A43">
      <w:r>
        <w:t xml:space="preserve">It appears that the percentage of services between the two graphs is fairly comparable across the graphs besides the Hispanics population. </w:t>
      </w:r>
    </w:p>
    <w:p w:rsidR="00C43A43" w:rsidRPr="00C43A43" w:rsidRDefault="00B853D4" w:rsidP="00C43A43">
      <w:r>
        <w:t xml:space="preserve">Based on the graphs presented above, it appears that more services need to be directed toward the Hispanic population. </w:t>
      </w:r>
    </w:p>
    <w:p w:rsidR="00C43A43" w:rsidRPr="00C43A43" w:rsidRDefault="00C43A43" w:rsidP="00C43A43"/>
    <w:p w:rsidR="00C43A43" w:rsidRPr="00C43A43" w:rsidRDefault="00C43A43" w:rsidP="00C43A43">
      <w:pPr>
        <w:rPr>
          <w:b/>
        </w:rPr>
      </w:pPr>
      <w:r w:rsidRPr="00C43A43">
        <w:rPr>
          <w:b/>
        </w:rPr>
        <w:t>10.  What outreach efforts are being made to reach minority groups in your community?</w:t>
      </w:r>
    </w:p>
    <w:p w:rsidR="00C43A43" w:rsidRDefault="00B853D4" w:rsidP="00C43A43">
      <w:r>
        <w:t>Mendocino County outreaches to the minority communities through the following activities:</w:t>
      </w:r>
      <w:r>
        <w:tab/>
      </w:r>
    </w:p>
    <w:p w:rsidR="00B853D4" w:rsidRDefault="00B853D4" w:rsidP="00B853D4">
      <w:pPr>
        <w:pStyle w:val="ListParagraph"/>
        <w:numPr>
          <w:ilvl w:val="0"/>
          <w:numId w:val="23"/>
        </w:numPr>
      </w:pPr>
      <w:r>
        <w:t>Mobile Library Bus</w:t>
      </w:r>
      <w:r w:rsidR="00465D75">
        <w:t xml:space="preserve"> – Outreaching to rural areas</w:t>
      </w:r>
    </w:p>
    <w:p w:rsidR="00B853D4" w:rsidRDefault="00B853D4" w:rsidP="00B853D4">
      <w:pPr>
        <w:pStyle w:val="ListParagraph"/>
        <w:numPr>
          <w:ilvl w:val="0"/>
          <w:numId w:val="23"/>
        </w:numPr>
      </w:pPr>
      <w:r>
        <w:t>Suicide Prevention Week activities within our minority communities</w:t>
      </w:r>
    </w:p>
    <w:p w:rsidR="00B853D4" w:rsidRDefault="00B853D4" w:rsidP="00B853D4">
      <w:pPr>
        <w:pStyle w:val="ListParagraph"/>
        <w:numPr>
          <w:ilvl w:val="0"/>
          <w:numId w:val="23"/>
        </w:numPr>
      </w:pPr>
      <w:r>
        <w:t>May is Mental Health Month at Farmer Markets</w:t>
      </w:r>
    </w:p>
    <w:p w:rsidR="00B853D4" w:rsidRDefault="00465D75" w:rsidP="00B853D4">
      <w:pPr>
        <w:pStyle w:val="ListParagraph"/>
        <w:numPr>
          <w:ilvl w:val="0"/>
          <w:numId w:val="23"/>
        </w:numPr>
      </w:pPr>
      <w:r>
        <w:t>Participation at Health Fairs put on by minority agencies or groups</w:t>
      </w:r>
    </w:p>
    <w:p w:rsidR="00465D75" w:rsidRPr="00B853D4" w:rsidRDefault="00465D75" w:rsidP="00B853D4">
      <w:pPr>
        <w:pStyle w:val="ListParagraph"/>
        <w:numPr>
          <w:ilvl w:val="0"/>
          <w:numId w:val="23"/>
        </w:numPr>
      </w:pPr>
      <w:r>
        <w:t>MHSA Stakeholder Forums held in 10 locations to allow all community members to be able to participate</w:t>
      </w:r>
    </w:p>
    <w:p w:rsidR="00465D75" w:rsidRDefault="00465D75" w:rsidP="00C43A43">
      <w:pPr>
        <w:rPr>
          <w:b/>
        </w:rPr>
      </w:pPr>
    </w:p>
    <w:p w:rsidR="00C43A43" w:rsidRPr="00C43A43" w:rsidRDefault="00C43A43" w:rsidP="00C43A43">
      <w:pPr>
        <w:rPr>
          <w:b/>
        </w:rPr>
      </w:pPr>
      <w:r w:rsidRPr="00C43A43">
        <w:rPr>
          <w:b/>
        </w:rPr>
        <w:t>11.  Do you have suggestions for improving outreach to and/or programs for underserved groups?</w:t>
      </w:r>
    </w:p>
    <w:p w:rsidR="00C43A43" w:rsidRPr="00C43A43" w:rsidRDefault="00B853D4" w:rsidP="00C43A43">
      <w:r>
        <w:t>Mendocino County providers could work more with the minority community leaders to better understand what services they need and how best to serve their communities.</w:t>
      </w:r>
      <w:r w:rsidR="00465D75">
        <w:t xml:space="preserve"> The county would also benefit from more bilingual providers. </w:t>
      </w:r>
    </w:p>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A977D9" w:rsidRPr="00C43A43" w:rsidRDefault="00A977D9" w:rsidP="00C43A43"/>
    <w:p w:rsidR="00C26531" w:rsidRPr="00C43A43" w:rsidRDefault="00A977D9" w:rsidP="00C43A43">
      <w:r>
        <w:rPr>
          <w:noProof/>
        </w:rPr>
        <w:drawing>
          <wp:inline distT="0" distB="0" distL="0" distR="0" wp14:anchorId="30B83506" wp14:editId="29512B6C">
            <wp:extent cx="6076301" cy="30480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76301" cy="3048000"/>
                    </a:xfrm>
                    <a:prstGeom prst="rect">
                      <a:avLst/>
                    </a:prstGeom>
                  </pic:spPr>
                </pic:pic>
              </a:graphicData>
            </a:graphic>
          </wp:inline>
        </w:drawing>
      </w:r>
    </w:p>
    <w:p w:rsidR="00CD4B6A" w:rsidRDefault="00CD4B6A">
      <w:r>
        <w:br w:type="page"/>
      </w:r>
    </w:p>
    <w:p w:rsidR="00C43A43" w:rsidRPr="00C43A43" w:rsidRDefault="00C43A43" w:rsidP="00C43A43">
      <w:pPr>
        <w:rPr>
          <w:b/>
        </w:rPr>
      </w:pPr>
      <w:r w:rsidRPr="00C43A43">
        <w:rPr>
          <w:b/>
        </w:rPr>
        <w:lastRenderedPageBreak/>
        <w:t>12.  Do you think your county is doing a good job at keeping clients engaged in services?  If yes, how?  If not, why?</w:t>
      </w:r>
    </w:p>
    <w:p w:rsidR="00C43A43" w:rsidRPr="00C43A43" w:rsidRDefault="00465D75" w:rsidP="00C43A43">
      <w:r>
        <w:t xml:space="preserve">Yes, Mendocino County is doing a good job at keeping clients engaged when compared to the state average. </w:t>
      </w:r>
      <w:r w:rsidR="002C3D04">
        <w:t xml:space="preserve">Mendocino County providers work with outreaching and engaging with clients to keep them involved with the services they need. </w:t>
      </w:r>
    </w:p>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2C3D04" w:rsidP="00C43A43">
      <w:r>
        <w:t xml:space="preserve">Mendocino County </w:t>
      </w:r>
      <w:r w:rsidR="00014708">
        <w:t xml:space="preserve">has a number of wellness and resource centers that have open door polices that allow for clients to engage at their own level that provide support for clients to help with follow-up and re-engagement. </w:t>
      </w:r>
    </w:p>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Pr="00C43A43" w:rsidRDefault="00666963" w:rsidP="00C43A43">
      <w:r>
        <w:t xml:space="preserve">Mendocino County, per the previous chart, is engaging the majority of the underserved communities. The county of course has goals to continue to engage and improve our outreach and engagement. The county does need to work on engaging the Hispanic population within our county. </w:t>
      </w:r>
      <w:r w:rsidR="00C43A43"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251CE8" w:rsidRDefault="00BE2F85" w:rsidP="00C43A43">
      <w:r>
        <w:t>Below are the data for</w:t>
      </w:r>
      <w:r w:rsidR="00C43A43" w:rsidRPr="00C43A43">
        <w:t xml:space="preserve"> responses by clients in your county to these two questions.  </w:t>
      </w:r>
    </w:p>
    <w:p w:rsidR="00BE2F85" w:rsidRDefault="00BE2F85" w:rsidP="00C43A43">
      <w:r>
        <w:t>For general comparison, statewide reference data for various sized counties are shown in the tables on page 19.</w:t>
      </w:r>
    </w:p>
    <w:p w:rsidR="00251CE8" w:rsidRDefault="00251CE8"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BE2F85" w:rsidRPr="00C43A43" w:rsidRDefault="00BE2F85"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251CE8" w:rsidTr="00452F74">
        <w:tc>
          <w:tcPr>
            <w:tcW w:w="1368" w:type="dxa"/>
          </w:tcPr>
          <w:p w:rsidR="00251CE8" w:rsidRDefault="00251CE8" w:rsidP="00452F74"/>
        </w:tc>
        <w:tc>
          <w:tcPr>
            <w:tcW w:w="1368" w:type="dxa"/>
          </w:tcPr>
          <w:p w:rsidR="00251CE8" w:rsidRDefault="00251CE8" w:rsidP="00452F74">
            <w:r>
              <w:t xml:space="preserve">Strongly Disagree      </w:t>
            </w:r>
          </w:p>
        </w:tc>
        <w:tc>
          <w:tcPr>
            <w:tcW w:w="1368" w:type="dxa"/>
          </w:tcPr>
          <w:p w:rsidR="00251CE8" w:rsidRDefault="00251CE8" w:rsidP="00452F74">
            <w:r>
              <w:t>Disagree</w:t>
            </w:r>
          </w:p>
        </w:tc>
        <w:tc>
          <w:tcPr>
            <w:tcW w:w="1368" w:type="dxa"/>
          </w:tcPr>
          <w:p w:rsidR="00251CE8" w:rsidRDefault="00251CE8" w:rsidP="00452F74">
            <w:r>
              <w:t>Neutral</w:t>
            </w:r>
          </w:p>
        </w:tc>
        <w:tc>
          <w:tcPr>
            <w:tcW w:w="1368" w:type="dxa"/>
          </w:tcPr>
          <w:p w:rsidR="00251CE8" w:rsidRDefault="00251CE8" w:rsidP="00452F74">
            <w:r>
              <w:t>Agree</w:t>
            </w:r>
          </w:p>
        </w:tc>
        <w:tc>
          <w:tcPr>
            <w:tcW w:w="1368" w:type="dxa"/>
          </w:tcPr>
          <w:p w:rsidR="00251CE8" w:rsidRDefault="00251CE8" w:rsidP="00452F74">
            <w:r>
              <w:t>Strongly A</w:t>
            </w:r>
            <w:r w:rsidRPr="00C43A43">
              <w:t>gre</w:t>
            </w:r>
            <w:r>
              <w:t>e</w:t>
            </w:r>
          </w:p>
        </w:tc>
        <w:tc>
          <w:tcPr>
            <w:tcW w:w="1368" w:type="dxa"/>
          </w:tcPr>
          <w:p w:rsidR="00251CE8" w:rsidRPr="00AA7646" w:rsidRDefault="00251CE8" w:rsidP="00452F74">
            <w:pPr>
              <w:pStyle w:val="Heading1"/>
              <w:outlineLvl w:val="0"/>
            </w:pPr>
            <w:r w:rsidRPr="00AA7646">
              <w:t>Total</w:t>
            </w:r>
          </w:p>
        </w:tc>
      </w:tr>
      <w:tr w:rsidR="00251CE8" w:rsidTr="00452F74">
        <w:tc>
          <w:tcPr>
            <w:tcW w:w="1368" w:type="dxa"/>
          </w:tcPr>
          <w:p w:rsidR="00251CE8" w:rsidRDefault="00251CE8" w:rsidP="00452F74">
            <w:r>
              <w:t>Number of Responses</w:t>
            </w:r>
          </w:p>
        </w:tc>
        <w:tc>
          <w:tcPr>
            <w:tcW w:w="1368" w:type="dxa"/>
          </w:tcPr>
          <w:p w:rsidR="00251CE8" w:rsidRDefault="00251CE8" w:rsidP="00452F74">
            <w:r>
              <w:t>0</w:t>
            </w:r>
          </w:p>
        </w:tc>
        <w:tc>
          <w:tcPr>
            <w:tcW w:w="1368" w:type="dxa"/>
          </w:tcPr>
          <w:p w:rsidR="00251CE8" w:rsidRDefault="00251CE8" w:rsidP="00452F74">
            <w:r>
              <w:t>1</w:t>
            </w:r>
          </w:p>
        </w:tc>
        <w:tc>
          <w:tcPr>
            <w:tcW w:w="1368" w:type="dxa"/>
          </w:tcPr>
          <w:p w:rsidR="00251CE8" w:rsidRDefault="00251CE8" w:rsidP="00452F74">
            <w:r>
              <w:t>4</w:t>
            </w:r>
          </w:p>
        </w:tc>
        <w:tc>
          <w:tcPr>
            <w:tcW w:w="1368" w:type="dxa"/>
          </w:tcPr>
          <w:p w:rsidR="00251CE8" w:rsidRDefault="00251CE8" w:rsidP="00452F74">
            <w:r>
              <w:t>15</w:t>
            </w:r>
          </w:p>
        </w:tc>
        <w:tc>
          <w:tcPr>
            <w:tcW w:w="1368" w:type="dxa"/>
          </w:tcPr>
          <w:p w:rsidR="00251CE8" w:rsidRDefault="00251CE8" w:rsidP="00452F74">
            <w:r>
              <w:t>9</w:t>
            </w:r>
          </w:p>
        </w:tc>
        <w:tc>
          <w:tcPr>
            <w:tcW w:w="1368" w:type="dxa"/>
          </w:tcPr>
          <w:p w:rsidR="00251CE8" w:rsidRDefault="00251CE8" w:rsidP="00452F74">
            <w:r>
              <w:t>29</w:t>
            </w:r>
          </w:p>
        </w:tc>
      </w:tr>
      <w:tr w:rsidR="00251CE8" w:rsidTr="00452F74">
        <w:tc>
          <w:tcPr>
            <w:tcW w:w="1368" w:type="dxa"/>
          </w:tcPr>
          <w:p w:rsidR="00251CE8" w:rsidRDefault="00251CE8" w:rsidP="00452F74">
            <w:r>
              <w:t>Percent of Responses</w:t>
            </w:r>
          </w:p>
        </w:tc>
        <w:tc>
          <w:tcPr>
            <w:tcW w:w="1368" w:type="dxa"/>
          </w:tcPr>
          <w:p w:rsidR="00251CE8" w:rsidRDefault="00251CE8" w:rsidP="00452F74">
            <w:r>
              <w:t>0 %</w:t>
            </w:r>
          </w:p>
        </w:tc>
        <w:tc>
          <w:tcPr>
            <w:tcW w:w="1368" w:type="dxa"/>
          </w:tcPr>
          <w:p w:rsidR="00251CE8" w:rsidRDefault="00251CE8" w:rsidP="00452F74">
            <w:r>
              <w:t>3.4 %</w:t>
            </w:r>
          </w:p>
        </w:tc>
        <w:tc>
          <w:tcPr>
            <w:tcW w:w="1368" w:type="dxa"/>
          </w:tcPr>
          <w:p w:rsidR="00251CE8" w:rsidRDefault="00251CE8" w:rsidP="00452F74">
            <w:r>
              <w:t>13.8 %</w:t>
            </w:r>
          </w:p>
        </w:tc>
        <w:tc>
          <w:tcPr>
            <w:tcW w:w="1368" w:type="dxa"/>
          </w:tcPr>
          <w:p w:rsidR="00251CE8" w:rsidRDefault="00251CE8" w:rsidP="00452F74">
            <w:r>
              <w:t>51.7 %</w:t>
            </w:r>
          </w:p>
        </w:tc>
        <w:tc>
          <w:tcPr>
            <w:tcW w:w="1368" w:type="dxa"/>
          </w:tcPr>
          <w:p w:rsidR="00251CE8" w:rsidRDefault="00251CE8" w:rsidP="00452F74">
            <w:r>
              <w:t>31.0 %</w:t>
            </w:r>
          </w:p>
        </w:tc>
        <w:tc>
          <w:tcPr>
            <w:tcW w:w="1368" w:type="dxa"/>
          </w:tcPr>
          <w:p w:rsidR="00251CE8" w:rsidRDefault="00251CE8" w:rsidP="00452F74">
            <w:r>
              <w:t>100.0 %</w:t>
            </w:r>
          </w:p>
        </w:tc>
      </w:tr>
    </w:tbl>
    <w:p w:rsidR="00892086" w:rsidRDefault="00892086" w:rsidP="00C43A43"/>
    <w:p w:rsidR="00892086" w:rsidRPr="00C43A43" w:rsidRDefault="00892086" w:rsidP="00C43A43"/>
    <w:p w:rsidR="00892086" w:rsidRPr="00C43A43" w:rsidRDefault="00C43A43" w:rsidP="00251CE8">
      <w:pPr>
        <w:pStyle w:val="ListParagraph"/>
      </w:pPr>
      <w:r w:rsidRPr="00C43A43">
        <w:t>Q2. Children/Youth.  As a result of services my child and/or family received, my child is better at handling daily life.</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251CE8" w:rsidTr="00452F74">
        <w:tc>
          <w:tcPr>
            <w:tcW w:w="1368" w:type="dxa"/>
          </w:tcPr>
          <w:p w:rsidR="00251CE8" w:rsidRDefault="00251CE8" w:rsidP="00452F74"/>
        </w:tc>
        <w:tc>
          <w:tcPr>
            <w:tcW w:w="1368" w:type="dxa"/>
          </w:tcPr>
          <w:p w:rsidR="00251CE8" w:rsidRDefault="00251CE8" w:rsidP="00452F74">
            <w:r>
              <w:t xml:space="preserve">Strongly Disagree      </w:t>
            </w:r>
          </w:p>
        </w:tc>
        <w:tc>
          <w:tcPr>
            <w:tcW w:w="1368" w:type="dxa"/>
          </w:tcPr>
          <w:p w:rsidR="00251CE8" w:rsidRDefault="00251CE8" w:rsidP="00452F74">
            <w:r>
              <w:t>Disagree</w:t>
            </w:r>
          </w:p>
        </w:tc>
        <w:tc>
          <w:tcPr>
            <w:tcW w:w="1368" w:type="dxa"/>
          </w:tcPr>
          <w:p w:rsidR="00251CE8" w:rsidRDefault="00251CE8" w:rsidP="00452F74">
            <w:r>
              <w:t>Neutral</w:t>
            </w:r>
          </w:p>
        </w:tc>
        <w:tc>
          <w:tcPr>
            <w:tcW w:w="1368" w:type="dxa"/>
          </w:tcPr>
          <w:p w:rsidR="00251CE8" w:rsidRDefault="00251CE8" w:rsidP="00452F74">
            <w:r>
              <w:t>Agree</w:t>
            </w:r>
          </w:p>
        </w:tc>
        <w:tc>
          <w:tcPr>
            <w:tcW w:w="1368" w:type="dxa"/>
          </w:tcPr>
          <w:p w:rsidR="00251CE8" w:rsidRDefault="00251CE8" w:rsidP="00452F74">
            <w:r>
              <w:t>Strongly A</w:t>
            </w:r>
            <w:r w:rsidRPr="00C43A43">
              <w:t>gre</w:t>
            </w:r>
            <w:r>
              <w:t>e</w:t>
            </w:r>
          </w:p>
        </w:tc>
        <w:tc>
          <w:tcPr>
            <w:tcW w:w="1368" w:type="dxa"/>
          </w:tcPr>
          <w:p w:rsidR="00251CE8" w:rsidRPr="00AA7646" w:rsidRDefault="00251CE8" w:rsidP="00452F74">
            <w:pPr>
              <w:pStyle w:val="Heading1"/>
              <w:outlineLvl w:val="0"/>
            </w:pPr>
            <w:r w:rsidRPr="00AA7646">
              <w:t>Total</w:t>
            </w:r>
          </w:p>
        </w:tc>
      </w:tr>
      <w:tr w:rsidR="00251CE8" w:rsidTr="00452F74">
        <w:tc>
          <w:tcPr>
            <w:tcW w:w="1368" w:type="dxa"/>
          </w:tcPr>
          <w:p w:rsidR="00251CE8" w:rsidRDefault="00251CE8" w:rsidP="00452F74">
            <w:r>
              <w:t>Number of Responses</w:t>
            </w:r>
          </w:p>
        </w:tc>
        <w:tc>
          <w:tcPr>
            <w:tcW w:w="1368" w:type="dxa"/>
          </w:tcPr>
          <w:p w:rsidR="00251CE8" w:rsidRDefault="00251CE8" w:rsidP="00452F74">
            <w:r>
              <w:t>1</w:t>
            </w:r>
          </w:p>
        </w:tc>
        <w:tc>
          <w:tcPr>
            <w:tcW w:w="1368" w:type="dxa"/>
          </w:tcPr>
          <w:p w:rsidR="00251CE8" w:rsidRDefault="00251CE8" w:rsidP="00452F74">
            <w:r>
              <w:t>2</w:t>
            </w:r>
          </w:p>
        </w:tc>
        <w:tc>
          <w:tcPr>
            <w:tcW w:w="1368" w:type="dxa"/>
          </w:tcPr>
          <w:p w:rsidR="00251CE8" w:rsidRDefault="00251CE8" w:rsidP="00452F74">
            <w:r>
              <w:t>23</w:t>
            </w:r>
          </w:p>
        </w:tc>
        <w:tc>
          <w:tcPr>
            <w:tcW w:w="1368" w:type="dxa"/>
          </w:tcPr>
          <w:p w:rsidR="00251CE8" w:rsidRDefault="00251CE8" w:rsidP="00452F74">
            <w:r>
              <w:t>27</w:t>
            </w:r>
          </w:p>
        </w:tc>
        <w:tc>
          <w:tcPr>
            <w:tcW w:w="1368" w:type="dxa"/>
          </w:tcPr>
          <w:p w:rsidR="00251CE8" w:rsidRDefault="00251CE8" w:rsidP="00452F74">
            <w:r>
              <w:t>17</w:t>
            </w:r>
          </w:p>
        </w:tc>
        <w:tc>
          <w:tcPr>
            <w:tcW w:w="1368" w:type="dxa"/>
          </w:tcPr>
          <w:p w:rsidR="00251CE8" w:rsidRDefault="00251CE8" w:rsidP="00452F74">
            <w:r>
              <w:t>70</w:t>
            </w:r>
          </w:p>
        </w:tc>
      </w:tr>
      <w:tr w:rsidR="00251CE8" w:rsidTr="00452F74">
        <w:tc>
          <w:tcPr>
            <w:tcW w:w="1368" w:type="dxa"/>
          </w:tcPr>
          <w:p w:rsidR="00251CE8" w:rsidRDefault="00251CE8" w:rsidP="00452F74">
            <w:r>
              <w:t>Percent of Responses</w:t>
            </w:r>
          </w:p>
        </w:tc>
        <w:tc>
          <w:tcPr>
            <w:tcW w:w="1368" w:type="dxa"/>
          </w:tcPr>
          <w:p w:rsidR="00251CE8" w:rsidRDefault="00251CE8" w:rsidP="00452F74">
            <w:r>
              <w:t>1.4 %</w:t>
            </w:r>
          </w:p>
        </w:tc>
        <w:tc>
          <w:tcPr>
            <w:tcW w:w="1368" w:type="dxa"/>
          </w:tcPr>
          <w:p w:rsidR="00251CE8" w:rsidRDefault="00251CE8" w:rsidP="00452F74">
            <w:r>
              <w:t>2.9 %</w:t>
            </w:r>
          </w:p>
        </w:tc>
        <w:tc>
          <w:tcPr>
            <w:tcW w:w="1368" w:type="dxa"/>
          </w:tcPr>
          <w:p w:rsidR="00251CE8" w:rsidRDefault="00251CE8" w:rsidP="00452F74">
            <w:r>
              <w:t>32.9 %</w:t>
            </w:r>
          </w:p>
        </w:tc>
        <w:tc>
          <w:tcPr>
            <w:tcW w:w="1368" w:type="dxa"/>
          </w:tcPr>
          <w:p w:rsidR="00251CE8" w:rsidRDefault="00251CE8" w:rsidP="00452F74">
            <w:r>
              <w:t>38.6 %</w:t>
            </w:r>
          </w:p>
        </w:tc>
        <w:tc>
          <w:tcPr>
            <w:tcW w:w="1368" w:type="dxa"/>
          </w:tcPr>
          <w:p w:rsidR="00251CE8" w:rsidRDefault="00251CE8" w:rsidP="00452F74">
            <w:r>
              <w:t>24.3 %</w:t>
            </w:r>
          </w:p>
        </w:tc>
        <w:tc>
          <w:tcPr>
            <w:tcW w:w="1368" w:type="dxa"/>
          </w:tcPr>
          <w:p w:rsidR="00251CE8" w:rsidRDefault="00251CE8" w:rsidP="00452F74">
            <w:r>
              <w:t>100.0 %</w:t>
            </w:r>
          </w:p>
        </w:tc>
      </w:tr>
    </w:tbl>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732881" w:rsidP="00C43A43">
      <w:pPr>
        <w:rPr>
          <w:b/>
        </w:rPr>
      </w:pPr>
      <w:r>
        <w:rPr>
          <w:b/>
        </w:rPr>
        <w:lastRenderedPageBreak/>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Default="00E14618" w:rsidP="00C43A43">
      <w:r>
        <w:t>The data is consistent with our perception of the effectiveness of mental health services within Mendocino County. We would like to investigate why 32.9% of youth rated their services as neutral.</w:t>
      </w:r>
    </w:p>
    <w:p w:rsidR="00E14618" w:rsidRPr="00C43A43" w:rsidRDefault="00E14618" w:rsidP="00C43A43"/>
    <w:p w:rsidR="00C43A43" w:rsidRPr="00C43A43" w:rsidRDefault="00C43A43" w:rsidP="00C43A43">
      <w:pPr>
        <w:rPr>
          <w:b/>
        </w:rPr>
      </w:pPr>
      <w:r w:rsidRPr="00737984">
        <w:rPr>
          <w:b/>
          <w:highlight w:val="yellow"/>
        </w:rPr>
        <w:t>16.  Do you have any recommendations for improving effectiveness</w:t>
      </w:r>
      <w:r w:rsidR="00892086" w:rsidRPr="00737984">
        <w:rPr>
          <w:b/>
          <w:highlight w:val="yellow"/>
        </w:rPr>
        <w:t xml:space="preserve"> of services</w:t>
      </w:r>
      <w:r w:rsidRPr="00737984">
        <w:rPr>
          <w:b/>
          <w:highlight w:val="yellow"/>
        </w:rPr>
        <w:t>?</w:t>
      </w:r>
    </w:p>
    <w:p w:rsidR="00C43A43" w:rsidRDefault="00C43A43" w:rsidP="00C43A43"/>
    <w:p w:rsidR="002A39D1" w:rsidRPr="00C43A43" w:rsidRDefault="002A39D1"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Pr="00C43A43" w:rsidRDefault="00D476CF" w:rsidP="00C43A43">
      <w:r>
        <w:t>Mendocino County has received several comments that the survey is too long. It may be beneficial to have more surveys across the year that are shorter in length.</w:t>
      </w:r>
    </w:p>
    <w:p w:rsidR="00C43A43" w:rsidRDefault="00C43A43" w:rsidP="00C43A43"/>
    <w:p w:rsidR="00C43A43" w:rsidRPr="00C43A43" w:rsidRDefault="00C43A43" w:rsidP="00C43A43">
      <w:pPr>
        <w:rPr>
          <w:b/>
        </w:rPr>
      </w:pPr>
      <w:r w:rsidRPr="00C43A43">
        <w:rPr>
          <w:b/>
        </w:rPr>
        <w:t xml:space="preserve">18.  Lastly, </w:t>
      </w:r>
      <w:r w:rsidR="00732881">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rPr>
          <w:b/>
        </w:rPr>
      </w:pPr>
    </w:p>
    <w:p w:rsid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D16E1A" w:rsidRDefault="00D16E1A" w:rsidP="00D16E1A">
      <w:pPr>
        <w:spacing w:after="0" w:line="240" w:lineRule="auto"/>
        <w:ind w:left="720"/>
      </w:pPr>
    </w:p>
    <w:p w:rsidR="00D16E1A" w:rsidRPr="00D16E1A" w:rsidRDefault="00D16E1A" w:rsidP="00D16E1A">
      <w:pPr>
        <w:spacing w:after="0" w:line="240" w:lineRule="auto"/>
        <w:ind w:left="720"/>
      </w:pPr>
      <w:r>
        <w:t>Gaps in services are services in the rural communities and engaging the Hispanic population.</w:t>
      </w:r>
    </w:p>
    <w:p w:rsidR="00C43A43" w:rsidRPr="00C43A43" w:rsidRDefault="00C43A43" w:rsidP="00C43A43">
      <w:pPr>
        <w:pStyle w:val="ListParagraph"/>
        <w:rPr>
          <w:b/>
        </w:rPr>
      </w:pPr>
    </w:p>
    <w:p w:rsidR="00C43A43" w:rsidRPr="00D16E1A" w:rsidRDefault="00C43A43" w:rsidP="00C43A43">
      <w:pPr>
        <w:pStyle w:val="ListParagraph"/>
        <w:numPr>
          <w:ilvl w:val="0"/>
          <w:numId w:val="21"/>
        </w:numPr>
        <w:spacing w:after="0" w:line="240" w:lineRule="auto"/>
        <w:rPr>
          <w:b/>
          <w:highlight w:val="yellow"/>
        </w:rPr>
      </w:pPr>
      <w:r w:rsidRPr="00C43A43">
        <w:rPr>
          <w:b/>
        </w:rPr>
        <w:t xml:space="preserve"> </w:t>
      </w:r>
      <w:r w:rsidRPr="00D16E1A">
        <w:rPr>
          <w:b/>
          <w:highlight w:val="yellow"/>
        </w:rPr>
        <w:t xml:space="preserve">Improvements to, or </w:t>
      </w:r>
      <w:r w:rsidR="00601364" w:rsidRPr="00D16E1A">
        <w:rPr>
          <w:b/>
          <w:highlight w:val="yellow"/>
        </w:rPr>
        <w:t xml:space="preserve">better </w:t>
      </w:r>
      <w:r w:rsidRPr="00D16E1A">
        <w:rPr>
          <w:b/>
          <w:highlight w:val="yellow"/>
        </w:rPr>
        <w:t>coordination of, existing services</w:t>
      </w:r>
    </w:p>
    <w:p w:rsidR="00C43A43" w:rsidRPr="00C43A43" w:rsidRDefault="00C43A43" w:rsidP="00C43A43">
      <w:pPr>
        <w:pStyle w:val="ListParagraph"/>
        <w:rPr>
          <w:b/>
        </w:rPr>
      </w:pPr>
    </w:p>
    <w:p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D16E1A" w:rsidRPr="00D16E1A" w:rsidRDefault="00D16E1A" w:rsidP="00D16E1A">
      <w:pPr>
        <w:pStyle w:val="ListParagraph"/>
        <w:rPr>
          <w:b/>
        </w:rPr>
      </w:pPr>
    </w:p>
    <w:p w:rsidR="00892086" w:rsidRPr="005F0423" w:rsidRDefault="00D16E1A" w:rsidP="005F0423">
      <w:pPr>
        <w:pStyle w:val="ListParagraph"/>
        <w:spacing w:after="0" w:line="240" w:lineRule="auto"/>
      </w:pPr>
      <w:r>
        <w:t xml:space="preserve">Improve outreach to rural communities within the county and the Hispanic population. </w:t>
      </w:r>
      <w:bookmarkStart w:id="0" w:name="_GoBack"/>
      <w:bookmarkEnd w:id="0"/>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732881" w:rsidRDefault="00732881" w:rsidP="00732881">
      <w:r w:rsidRPr="00732881">
        <w:rPr>
          <w:sz w:val="28"/>
          <w:szCs w:val="28"/>
        </w:rPr>
        <w:lastRenderedPageBreak/>
        <w:t>REFERENCE</w:t>
      </w:r>
      <w:r>
        <w:rPr>
          <w:sz w:val="28"/>
          <w:szCs w:val="28"/>
        </w:rPr>
        <w:t xml:space="preserve"> </w:t>
      </w:r>
      <w:r w:rsidRPr="00732881">
        <w:rPr>
          <w:sz w:val="28"/>
          <w:szCs w:val="28"/>
        </w:rPr>
        <w:t xml:space="preserve"> DATA:</w:t>
      </w:r>
      <w:r>
        <w:t xml:space="preserve">  for general comparison with your county MHP results</w:t>
      </w:r>
    </w:p>
    <w:p w:rsidR="00732881" w:rsidRPr="00732881" w:rsidRDefault="00732881" w:rsidP="00732881">
      <w:pPr>
        <w:jc w:val="center"/>
        <w:rPr>
          <w:sz w:val="20"/>
          <w:szCs w:val="20"/>
        </w:rPr>
      </w:pPr>
    </w:p>
    <w:p w:rsidR="00732881" w:rsidRDefault="00732881" w:rsidP="00732881">
      <w:r>
        <w:rPr>
          <w:noProof/>
        </w:rPr>
        <w:drawing>
          <wp:inline distT="0" distB="0" distL="0" distR="0" wp14:anchorId="0E71DE6A" wp14:editId="416E4ABF">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090420"/>
                    </a:xfrm>
                    <a:prstGeom prst="rect">
                      <a:avLst/>
                    </a:prstGeom>
                  </pic:spPr>
                </pic:pic>
              </a:graphicData>
            </a:graphic>
          </wp:inline>
        </w:drawing>
      </w:r>
    </w:p>
    <w:p w:rsidR="00732881" w:rsidRDefault="00732881" w:rsidP="00732881"/>
    <w:p w:rsidR="00732881" w:rsidRDefault="00732881" w:rsidP="00732881">
      <w:r>
        <w:rPr>
          <w:noProof/>
        </w:rPr>
        <w:drawing>
          <wp:inline distT="0" distB="0" distL="0" distR="0" wp14:anchorId="3F364ABE" wp14:editId="20DE2E32">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095500"/>
                    </a:xfrm>
                    <a:prstGeom prst="rect">
                      <a:avLst/>
                    </a:prstGeom>
                  </pic:spPr>
                </pic:pic>
              </a:graphicData>
            </a:graphic>
          </wp:inline>
        </w:drawing>
      </w:r>
    </w:p>
    <w:p w:rsidR="00732881" w:rsidRDefault="00732881" w:rsidP="00732881"/>
    <w:p w:rsidR="00732881" w:rsidRDefault="00732881" w:rsidP="00732881">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732881" w:rsidRDefault="00732881" w:rsidP="0073288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732881" w:rsidRDefault="00732881" w:rsidP="0073288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CD1C3D">
        <w:rPr>
          <w:color w:val="000000"/>
          <w:sz w:val="20"/>
          <w:szCs w:val="20"/>
        </w:rPr>
        <w:t xml:space="preserve"> </w:t>
      </w:r>
      <w:r>
        <w:rPr>
          <w:color w:val="000000"/>
          <w:sz w:val="20"/>
          <w:szCs w:val="20"/>
        </w:rPr>
        <w:t>Benito, Shasta, Sutter/Yuba, Tehama, Tuolumne</w:t>
      </w:r>
    </w:p>
    <w:p w:rsidR="00732881" w:rsidRDefault="00732881" w:rsidP="0073288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732881" w:rsidRDefault="00732881" w:rsidP="0073288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732881" w:rsidRDefault="00732881" w:rsidP="00732881">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732881" w:rsidRDefault="00732881" w:rsidP="00732881">
      <w:pPr>
        <w:rPr>
          <w:sz w:val="22"/>
          <w:szCs w:val="22"/>
        </w:rPr>
      </w:pPr>
      <w:r>
        <w:rPr>
          <w:color w:val="000000"/>
          <w:sz w:val="20"/>
          <w:szCs w:val="20"/>
        </w:rPr>
        <w:t>Total Values (in Tables above) = include all statewide data received by CiMH for these survey items.</w:t>
      </w:r>
    </w:p>
    <w:p w:rsidR="001633F6" w:rsidRDefault="001633F6" w:rsidP="00732881">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BC38C5" w:rsidP="002A39D1">
      <w:pPr>
        <w:rPr>
          <w:b/>
        </w:rPr>
      </w:pPr>
      <w:hyperlink r:id="rId22"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3"/>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C5" w:rsidRDefault="00BC38C5" w:rsidP="001633F6">
      <w:pPr>
        <w:spacing w:after="0" w:line="240" w:lineRule="auto"/>
      </w:pPr>
      <w:r>
        <w:separator/>
      </w:r>
    </w:p>
  </w:endnote>
  <w:endnote w:type="continuationSeparator" w:id="0">
    <w:p w:rsidR="00BC38C5" w:rsidRDefault="00BC38C5"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5F0423">
          <w:rPr>
            <w:noProof/>
          </w:rPr>
          <w:t>19</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C5" w:rsidRDefault="00BC38C5" w:rsidP="001633F6">
      <w:pPr>
        <w:spacing w:after="0" w:line="240" w:lineRule="auto"/>
      </w:pPr>
      <w:r>
        <w:separator/>
      </w:r>
    </w:p>
  </w:footnote>
  <w:footnote w:type="continuationSeparator" w:id="0">
    <w:p w:rsidR="00BC38C5" w:rsidRDefault="00BC38C5"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32147EF"/>
    <w:multiLevelType w:val="hybridMultilevel"/>
    <w:tmpl w:val="B33A339C"/>
    <w:lvl w:ilvl="0" w:tplc="28129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D32D7"/>
    <w:multiLevelType w:val="hybridMultilevel"/>
    <w:tmpl w:val="9A3C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BCB651D"/>
    <w:multiLevelType w:val="hybridMultilevel"/>
    <w:tmpl w:val="CFE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
  </w:num>
  <w:num w:numId="3">
    <w:abstractNumId w:val="19"/>
  </w:num>
  <w:num w:numId="4">
    <w:abstractNumId w:val="18"/>
  </w:num>
  <w:num w:numId="5">
    <w:abstractNumId w:val="12"/>
  </w:num>
  <w:num w:numId="6">
    <w:abstractNumId w:val="25"/>
  </w:num>
  <w:num w:numId="7">
    <w:abstractNumId w:val="21"/>
  </w:num>
  <w:num w:numId="8">
    <w:abstractNumId w:val="22"/>
  </w:num>
  <w:num w:numId="9">
    <w:abstractNumId w:val="5"/>
  </w:num>
  <w:num w:numId="10">
    <w:abstractNumId w:val="11"/>
  </w:num>
  <w:num w:numId="11">
    <w:abstractNumId w:val="26"/>
  </w:num>
  <w:num w:numId="12">
    <w:abstractNumId w:val="15"/>
  </w:num>
  <w:num w:numId="13">
    <w:abstractNumId w:val="10"/>
  </w:num>
  <w:num w:numId="14">
    <w:abstractNumId w:val="7"/>
  </w:num>
  <w:num w:numId="15">
    <w:abstractNumId w:val="31"/>
  </w:num>
  <w:num w:numId="16">
    <w:abstractNumId w:val="14"/>
  </w:num>
  <w:num w:numId="17">
    <w:abstractNumId w:val="27"/>
  </w:num>
  <w:num w:numId="18">
    <w:abstractNumId w:val="3"/>
  </w:num>
  <w:num w:numId="19">
    <w:abstractNumId w:val="17"/>
  </w:num>
  <w:num w:numId="20">
    <w:abstractNumId w:val="24"/>
  </w:num>
  <w:num w:numId="21">
    <w:abstractNumId w:val="30"/>
  </w:num>
  <w:num w:numId="22">
    <w:abstractNumId w:val="13"/>
  </w:num>
  <w:num w:numId="23">
    <w:abstractNumId w:val="6"/>
  </w:num>
  <w:num w:numId="24">
    <w:abstractNumId w:val="29"/>
  </w:num>
  <w:num w:numId="25">
    <w:abstractNumId w:val="23"/>
  </w:num>
  <w:num w:numId="26">
    <w:abstractNumId w:val="4"/>
  </w:num>
  <w:num w:numId="27">
    <w:abstractNumId w:val="0"/>
  </w:num>
  <w:num w:numId="28">
    <w:abstractNumId w:val="28"/>
  </w:num>
  <w:num w:numId="29">
    <w:abstractNumId w:val="20"/>
  </w:num>
  <w:num w:numId="30">
    <w:abstractNumId w:val="9"/>
  </w:num>
  <w:num w:numId="31">
    <w:abstractNumId w:val="2"/>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14708"/>
    <w:rsid w:val="00056750"/>
    <w:rsid w:val="000658FC"/>
    <w:rsid w:val="00073774"/>
    <w:rsid w:val="000A1E30"/>
    <w:rsid w:val="000B4038"/>
    <w:rsid w:val="000B73A4"/>
    <w:rsid w:val="000D07AE"/>
    <w:rsid w:val="000F4FD0"/>
    <w:rsid w:val="00104C08"/>
    <w:rsid w:val="00111FEB"/>
    <w:rsid w:val="00146D04"/>
    <w:rsid w:val="00147650"/>
    <w:rsid w:val="001521B2"/>
    <w:rsid w:val="00152E3F"/>
    <w:rsid w:val="00161093"/>
    <w:rsid w:val="001633F6"/>
    <w:rsid w:val="001B4EE0"/>
    <w:rsid w:val="001C4A7D"/>
    <w:rsid w:val="001C5311"/>
    <w:rsid w:val="001C6F3E"/>
    <w:rsid w:val="001C7BFD"/>
    <w:rsid w:val="001D000F"/>
    <w:rsid w:val="00206823"/>
    <w:rsid w:val="002161A3"/>
    <w:rsid w:val="002272B4"/>
    <w:rsid w:val="00251CE8"/>
    <w:rsid w:val="002526FB"/>
    <w:rsid w:val="002741C1"/>
    <w:rsid w:val="0029557D"/>
    <w:rsid w:val="0029778A"/>
    <w:rsid w:val="002A39D1"/>
    <w:rsid w:val="002B75B9"/>
    <w:rsid w:val="002C1D41"/>
    <w:rsid w:val="002C2658"/>
    <w:rsid w:val="002C3D04"/>
    <w:rsid w:val="002C5FFA"/>
    <w:rsid w:val="00314FF1"/>
    <w:rsid w:val="003152DB"/>
    <w:rsid w:val="003259DD"/>
    <w:rsid w:val="00342BA8"/>
    <w:rsid w:val="00357FCB"/>
    <w:rsid w:val="003644DB"/>
    <w:rsid w:val="00367E4E"/>
    <w:rsid w:val="003733D8"/>
    <w:rsid w:val="003755D4"/>
    <w:rsid w:val="003824ED"/>
    <w:rsid w:val="00387CDF"/>
    <w:rsid w:val="003A0022"/>
    <w:rsid w:val="003A018A"/>
    <w:rsid w:val="003A5615"/>
    <w:rsid w:val="003B0B36"/>
    <w:rsid w:val="003B5FB9"/>
    <w:rsid w:val="003C0EF2"/>
    <w:rsid w:val="003E2B04"/>
    <w:rsid w:val="004045F0"/>
    <w:rsid w:val="00411F03"/>
    <w:rsid w:val="00423653"/>
    <w:rsid w:val="00427D32"/>
    <w:rsid w:val="00431428"/>
    <w:rsid w:val="00436CF0"/>
    <w:rsid w:val="00445920"/>
    <w:rsid w:val="00464DC8"/>
    <w:rsid w:val="00465D75"/>
    <w:rsid w:val="00480813"/>
    <w:rsid w:val="00490151"/>
    <w:rsid w:val="004C02EC"/>
    <w:rsid w:val="004C0893"/>
    <w:rsid w:val="004C2E42"/>
    <w:rsid w:val="004D2317"/>
    <w:rsid w:val="004E2CD7"/>
    <w:rsid w:val="005369F2"/>
    <w:rsid w:val="005554A1"/>
    <w:rsid w:val="0058072F"/>
    <w:rsid w:val="00584ABF"/>
    <w:rsid w:val="00585369"/>
    <w:rsid w:val="005A71AE"/>
    <w:rsid w:val="005B3EAA"/>
    <w:rsid w:val="005C3731"/>
    <w:rsid w:val="005D6380"/>
    <w:rsid w:val="005E1B03"/>
    <w:rsid w:val="005E493B"/>
    <w:rsid w:val="005F0423"/>
    <w:rsid w:val="005F1FFA"/>
    <w:rsid w:val="00600E3E"/>
    <w:rsid w:val="00601364"/>
    <w:rsid w:val="0060599D"/>
    <w:rsid w:val="006254F8"/>
    <w:rsid w:val="006310CD"/>
    <w:rsid w:val="00657F5C"/>
    <w:rsid w:val="0066101F"/>
    <w:rsid w:val="00666963"/>
    <w:rsid w:val="006867F9"/>
    <w:rsid w:val="006B2BB9"/>
    <w:rsid w:val="006C0082"/>
    <w:rsid w:val="006C1163"/>
    <w:rsid w:val="006D3461"/>
    <w:rsid w:val="006E1398"/>
    <w:rsid w:val="006E721D"/>
    <w:rsid w:val="006F59A4"/>
    <w:rsid w:val="00726A10"/>
    <w:rsid w:val="00732881"/>
    <w:rsid w:val="00734CCC"/>
    <w:rsid w:val="00737984"/>
    <w:rsid w:val="00746BA7"/>
    <w:rsid w:val="007573C0"/>
    <w:rsid w:val="00761489"/>
    <w:rsid w:val="007756D4"/>
    <w:rsid w:val="0079331B"/>
    <w:rsid w:val="00795A53"/>
    <w:rsid w:val="007B0FE3"/>
    <w:rsid w:val="007D2B61"/>
    <w:rsid w:val="007D65C5"/>
    <w:rsid w:val="007E6BC3"/>
    <w:rsid w:val="007F2D99"/>
    <w:rsid w:val="00807B75"/>
    <w:rsid w:val="00822315"/>
    <w:rsid w:val="00835B87"/>
    <w:rsid w:val="008423B9"/>
    <w:rsid w:val="00842DD4"/>
    <w:rsid w:val="008436AA"/>
    <w:rsid w:val="008518A1"/>
    <w:rsid w:val="00880A0F"/>
    <w:rsid w:val="008902AE"/>
    <w:rsid w:val="00892086"/>
    <w:rsid w:val="008E177E"/>
    <w:rsid w:val="0091007B"/>
    <w:rsid w:val="009167CF"/>
    <w:rsid w:val="0093336B"/>
    <w:rsid w:val="00951B6C"/>
    <w:rsid w:val="009969F0"/>
    <w:rsid w:val="009A17A0"/>
    <w:rsid w:val="009C002A"/>
    <w:rsid w:val="009D1AFE"/>
    <w:rsid w:val="009D6E26"/>
    <w:rsid w:val="00A00DE9"/>
    <w:rsid w:val="00A01841"/>
    <w:rsid w:val="00A06EDA"/>
    <w:rsid w:val="00A332B3"/>
    <w:rsid w:val="00A63FB0"/>
    <w:rsid w:val="00A653DF"/>
    <w:rsid w:val="00A67A65"/>
    <w:rsid w:val="00A70FFB"/>
    <w:rsid w:val="00A7286E"/>
    <w:rsid w:val="00A836DF"/>
    <w:rsid w:val="00A86045"/>
    <w:rsid w:val="00A93967"/>
    <w:rsid w:val="00A977D9"/>
    <w:rsid w:val="00AA5263"/>
    <w:rsid w:val="00AD6738"/>
    <w:rsid w:val="00AE7F98"/>
    <w:rsid w:val="00AF672B"/>
    <w:rsid w:val="00B03D2A"/>
    <w:rsid w:val="00B07512"/>
    <w:rsid w:val="00B10D78"/>
    <w:rsid w:val="00B127E9"/>
    <w:rsid w:val="00B76AB0"/>
    <w:rsid w:val="00B82CF3"/>
    <w:rsid w:val="00B853D4"/>
    <w:rsid w:val="00BC38C5"/>
    <w:rsid w:val="00BE19D2"/>
    <w:rsid w:val="00BE2F85"/>
    <w:rsid w:val="00BE7786"/>
    <w:rsid w:val="00BE7ED7"/>
    <w:rsid w:val="00BF3EC3"/>
    <w:rsid w:val="00C04621"/>
    <w:rsid w:val="00C06762"/>
    <w:rsid w:val="00C25D85"/>
    <w:rsid w:val="00C26531"/>
    <w:rsid w:val="00C37241"/>
    <w:rsid w:val="00C43A43"/>
    <w:rsid w:val="00C657CF"/>
    <w:rsid w:val="00C91363"/>
    <w:rsid w:val="00C962E2"/>
    <w:rsid w:val="00C9662B"/>
    <w:rsid w:val="00CB31BC"/>
    <w:rsid w:val="00CB379E"/>
    <w:rsid w:val="00CB39E5"/>
    <w:rsid w:val="00CC658F"/>
    <w:rsid w:val="00CC7C8D"/>
    <w:rsid w:val="00CD1C3D"/>
    <w:rsid w:val="00CD4B6A"/>
    <w:rsid w:val="00CD7422"/>
    <w:rsid w:val="00CE5D50"/>
    <w:rsid w:val="00CF52E0"/>
    <w:rsid w:val="00D05B12"/>
    <w:rsid w:val="00D05CD4"/>
    <w:rsid w:val="00D06E9B"/>
    <w:rsid w:val="00D16E1A"/>
    <w:rsid w:val="00D35E98"/>
    <w:rsid w:val="00D43FF0"/>
    <w:rsid w:val="00D476CF"/>
    <w:rsid w:val="00D61FF8"/>
    <w:rsid w:val="00D62352"/>
    <w:rsid w:val="00D64A05"/>
    <w:rsid w:val="00D70BC4"/>
    <w:rsid w:val="00D92982"/>
    <w:rsid w:val="00D95115"/>
    <w:rsid w:val="00D979EA"/>
    <w:rsid w:val="00DB07F8"/>
    <w:rsid w:val="00DB4B65"/>
    <w:rsid w:val="00DC3F8C"/>
    <w:rsid w:val="00DD6C81"/>
    <w:rsid w:val="00DE7DD4"/>
    <w:rsid w:val="00E14618"/>
    <w:rsid w:val="00E4057A"/>
    <w:rsid w:val="00E45C46"/>
    <w:rsid w:val="00E50DE2"/>
    <w:rsid w:val="00E50F42"/>
    <w:rsid w:val="00E51D4B"/>
    <w:rsid w:val="00E71203"/>
    <w:rsid w:val="00E73A9B"/>
    <w:rsid w:val="00EB05FD"/>
    <w:rsid w:val="00EC576A"/>
    <w:rsid w:val="00ED45DC"/>
    <w:rsid w:val="00EE1FB3"/>
    <w:rsid w:val="00EE3C7D"/>
    <w:rsid w:val="00EE4124"/>
    <w:rsid w:val="00EF57C6"/>
    <w:rsid w:val="00F008C7"/>
    <w:rsid w:val="00F0699C"/>
    <w:rsid w:val="00F2267D"/>
    <w:rsid w:val="00F227C1"/>
    <w:rsid w:val="00F37D8E"/>
    <w:rsid w:val="00F4327E"/>
    <w:rsid w:val="00F53D08"/>
    <w:rsid w:val="00F639CE"/>
    <w:rsid w:val="00F647E3"/>
    <w:rsid w:val="00F825BA"/>
    <w:rsid w:val="00F87EC2"/>
    <w:rsid w:val="00FA1850"/>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2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7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2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7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68544463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eqro.com/webx/.ee8567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0A4D-096D-4CDE-BFB8-6BF8D55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2014-03-14T02:16:00Z</cp:lastPrinted>
  <dcterms:created xsi:type="dcterms:W3CDTF">2014-10-20T20:24:00Z</dcterms:created>
  <dcterms:modified xsi:type="dcterms:W3CDTF">2014-10-20T20:24:00Z</dcterms:modified>
</cp:coreProperties>
</file>